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VBE.2022.383, VBE.2022.439 vom 21. April 2023</w:t>
      </w:r>
    </w:p>
    <w:p>
      <w:r>
        <w:t>Ag Versicherungsgericht, 2023-04-21, DE</w:t>
      </w:r>
    </w:p>
    <w:p>
      <w:r>
        <w:rPr>
          <w:b/>
        </w:rPr>
        <w:t xml:space="preserve">Quelle: </w:t>
      </w:r>
      <w:r>
        <w:t>https://mcp.opencaselaw.ch/entscheid/ag_versicherungsgericht_VBE.2022.383, VBE.2022.439</w:t>
      </w:r>
    </w:p>
    <w:p>
      <w:r>
        <w:t>FR: AG_VERSICHERUNGSGERICHT VBE.2022.383, VBE.2022.439 du 21 avril 2023</w:t>
      </w:r>
    </w:p>
    <w:p>
      <w:r>
        <w:t>IT: AG_VERSICHERUNGSGERICHT VBE.2022.383, VBE.2022.439 del 21 aprile 2023</w:t>
      </w:r>
    </w:p>
    <w:p>
      <w:pPr>
        <w:pStyle w:val="Heading2"/>
      </w:pPr>
      <w:r>
        <w:t>Erwägungen</w:t>
      </w:r>
    </w:p>
    <w:p>
      <w:r>
        <w:rPr>
          <w:b/>
        </w:rPr>
        <w:t>E. 3</w:t>
      </w:r>
    </w:p>
    <w:p>
      <w:r>
        <w:t>Es sei dem Beschwerdeführer die unentgeltliche Prozessführung zu be- willigen und ihm in Person des Unterzeichneten ein unentgeltlicher Rechtsbeistand zu bestellen."</w:t>
      </w:r>
    </w:p>
    <w:p>
      <w:r>
        <w:rPr>
          <w:b/>
        </w:rPr>
        <w:t>E. 3.1</w:t>
      </w:r>
    </w:p>
    <w:p>
      <w:r>
        <w:t>Gegen die Verfügung vom 27. Oktober 2022 erhob der Beschwerdeführer Am 1. Dezember 2022 ebenfalls fristgerecht Beschwerde und stellte fol- gende Rechtsbegehren: " Rechtsbegehren: 1. Es sei die Verfügung vom 27.10.2022 aufzuheben und es seien dem Beschwerdeführer die gesetzliche[n] Ansprüche nach IVG, insbeson- dere berufliche Massnahmen, zuzusprechen. 2. Subeventualiter sei die Sache an die Beschwerdegegnerin zur weiteren Abklärung zurückzuweisen. Alles unter Kosten- und Entschädigungsfolgen zuzüglich MwSt. zu Las- ten der Beschwerdegegnerin. sowie folgenden Anträgen: 1. Es sei das vorliegende Verfahren mit dem Verfahren VBE.2022.383 zu vereinen. 2. Es sei ein zweiter Schriftenwechsel durchzuführen.</w:t>
      </w:r>
    </w:p>
    <w:p>
      <w:r>
        <w:rPr>
          <w:b/>
        </w:rPr>
        <w:t>E. 3.2</w:t>
      </w:r>
    </w:p>
    <w:p>
      <w:r>
        <w:t>Mit Vernehmlassung vom 5. Januar 2023 beantragte die Beschwerdegeg- nerin die Abweisung der Beschwerde.</w:t>
      </w:r>
    </w:p>
    <w:p>
      <w:r>
        <w:rPr>
          <w:b/>
        </w:rPr>
        <w:t>E. 3.3</w:t>
      </w:r>
    </w:p>
    <w:p>
      <w:r>
        <w:t>Dieses Verfahren wurde unter der Verfahrensnummer VBE.2022.439 er- fasst.</w:t>
      </w:r>
    </w:p>
    <w:p>
      <w:r>
        <w:rPr>
          <w:b/>
        </w:rPr>
        <w:t>E. 4</w:t>
      </w:r>
    </w:p>
    <w:p>
      <w:r>
        <w:t>Mit instruktionsrichterlicher Verfügung vom 9. Januar 2023 wurden die Ver- fahren VBE.2022.383 und VBE.2022.439 vereinigt.</w:t>
      </w:r>
    </w:p>
    <w:p>
      <w:r>
        <w:t>- 4 -</w:t>
      </w:r>
    </w:p>
    <w:p>
      <w:r>
        <w:rPr>
          <w:b/>
        </w:rPr>
        <w:t>E. 5</w:t>
      </w:r>
    </w:p>
    <w:p>
      <w:r>
        <w:t>Mit instruktionsrichterlicher Verfügung vom 30. März 2023 wurde dem Be- schwerdeführer auch betreffend das Verfahren VBE.2022.439 die unent- geltliche Rechtspflege bewilligt und MLaw Leo Sigg, Rechtsanwalt, Aarau, zu seinem unentgeltlichen Vertreter ernannt. Das Versicherungsgericht zieht in Erwägung: 1. 1.1. Die Beschwerdegegnerin begründete sowohl die Abweisung des Renten- begehrens als auch jene des Gesuchs betreffend berufliche Massnahmen mit der 100%igen Arbeitsfähigkeit des Beschwerdeführers in der ange- stammten und jeder anderen angepassten Tätigkeit gemäss PMEDA-Gut- achten vom 3. Januar 2022 (Vernehmlassungsbeilage [VB] 113) bzw. dem sich aus dem entsprechenden Einkommensvergleich ergebenden Invalidi- tätsgrad von 0 % und dem Fehlen einer für einen Anspruch auf Arbeitsver- mittlung erforderlichen spezifischen gesundheitlichen Einschränkung be- treffend die Stellensuche (VB 144; VB 153). Der Beschwerdeführer stellt sich demgegenüber im Wesentlichen auf den Standpunkt, auf die Beurtei- lung der Gutachter könne nicht abgestellt werden, weil die aktenmässig er- stellten klinischen Befunde von diesen nicht oder nur ungenügend diskutiert worden seien. Unter Berücksichtigung der Tatsache, dass er seine Restar- beitsfähigkeit mit der effektiv ausgeübten Tätigkeit voll ausschöpfe und das damit erzielte Salär dementsprechend dem Invalideneinkommen gleichzu- setzen sei, ergebe sich bei korrekter Ermittlung des Valideneinkommens ein einen Anspruch sowohl auf eine Rente als auch auf eine Umschulung begründender Invaliditätsgrad. Zudem seien auch die Voraussetzungen für einen Anspruch auf "Berufsberatung usw." erfüllt (Beschwerden vom 6. Ok- tober 2022 S. 17 ff. und vom 1. Dezember 2022 S. 28 f.). 1.2. Streitig und zu prüfen ist demnach, ob die Beschwerdegegnerin mit Verfü- gungen vom 9. September 2022 (VB 144) und 27. Oktober 2022 (VB 153) einen Rentenanspruch bzw. einen Anspruch des Beschwerdeführers auf berufliche Massnahmen zu Recht verneint hat. 2. Hinsichtlich des Antrags des Beschwerdeführers auf Durchführung eines zweiten Schriftenwechsels (Beschwerde vom 6. Oktober 2022 S. 5; Be- schwerde vom 1. Dezember 2022 S. 6) ist darauf hinzuweisen, dass Art. 61 lit. a ATSG ein rasches Verfahren vorsieht, woraus sich kein Anspruch auf einen zweiten Schriftenwechsel ergibt. Auch vor dem Hintergrund des Re- plikrechts (BGE 137 I 195 E. 2.3.1 S. 197; 133 I 100 E. 4.5 S. 103 f.) ist die</w:t>
      </w:r>
    </w:p>
    <w:p>
      <w:r>
        <w:t>- 5 - Durchführung eines zweiten Schriftenwechsels nicht zwingend. Das Ge- richt kann Eingaben auch lediglich zur Kenntnisnahme zustellen, wenn von den Parteien erwartet werden kann, dass sie unaufgefordert dazu Stellung nehmen (BGE 138 I 484 E. 2.1 und 2.2 S. 485 f.; 133 I 98 E. 2.2 S. 99). Dies trifft vor allem bei rechtskundig vertretenen Personen wie dem Be- schwerdeführer zu (Urteil des Bundesgerichts 9C_641/2014 vom 16. Ja- nuar 2015 E. 2 mit Hinweisen). Das Versicherungsgericht stellte dem Be- schwerdeführer die Vernehmlassungen der Beschwerdegegnerin vom 3. November 2022 und 5. Januar 2023 – worin sich diese materiell nicht äusserte – mit Verfügungen vom 4. November 2022 bzw. 9. Januar 2023 zu. Bis zum vorliegenden Entscheid liess sich der Beschwerdeführer nicht mehr vernehmen, weshalb von einem Verzicht auf das Replikrecht auszu- gehen ist (vgl. etwa Urteil des Bundesgerichts 9C_547/2021 vom 14. De- zember 2021 E. 2.2). 3.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Vorliegend sind zum einen Rentenleistungen mit frühestmögli- chem Anspruchsbeginn (Dezember 2019 [vgl. VB 8; Art. 29 Abs. 1 IVG]) vor dem 1. Januar 2022 streitig, weshalb für die Beurteilung des Renten- anspruchs die bis zum 31. Dezember 2021 geltende Rechtslage massge- bend ist. Betreffend den im Weiteren strittigen Anspruch auf berufliche Massnahmen ist hingegen auf den Zeitpunkt des Erlasses der angefochte- nen Verfügung (27. Oktober 2022) abzustellen, womit diesbezüglich das seit 1. Januar 2022 geltende Recht anzuwenden ist. 4. Die Beschwerdegegnerin stützte sich in den angefochtenen Verfügungen vom 9. September 2022 und 27. Oktober 2022 (VB 144, 153) in medizini- scher Hinsicht im Wesentlichen auf das polydisziplinäre PMEDA-Gutach- ten vom 3. Januar 2022, das eine internistische, eine neurologische, eine orthopädische und eine psychiatrische Beurteilung umfasst. Die Gutachter stellten die folgenden Diagnosen (VB 113 S. 10 f.):</w:t>
      </w:r>
    </w:p>
    <w:p>
      <w:r>
        <w:t>- 6 - " Diagnosen mit Auswirkung auf die Arbeitsfähigkeit: Keine Diagnosen mit Auswirkung in der letzten sowie der anamnestisch aktuell aufgenommenen oder einer vergleichbaren Arbeit. Diagnosen ohne Auswirkung auf die Arbeitsfähigkeit: […] Präadipositas, BMI 25,6 kg/m2 Koronare Dreigefässerkrankung, Erstdiagnose 3/2019, Status nach Stenteinlage und Ballondilatation Diabetes mellitus, gemäss Akten unterschiedlich klassifiziert als Typ 1 mit spätem Beginn oder Typ 2, suboptimal kontrolliert, HbA1c (5.10.21: 7.3 %), diabetische Polyneuropathie Dyslipidämie Arterielle Hypertonie, unter Therapie normotensiv Gemäss Akten inzidentelles Adenokarzinom der Prostata, Erstdiagnose 11/2020 Leichtgradige diabetische Polyneuropathie mit sekundärem Restless- Legs-Syndrom (hinreichend therapiert) Rezidivierende linksseitige Reizung des Nervus ulnaris im Sulcusbereich sowie des Nervus medianus am Handgelenk Bildmorphologisch mehrsegmentale degenerative Veränderungen und Diskusprotrusionen cervical, ohne namhaften klinischen Störungsbefund Bildmorphologisch degenerative Veränderungen lumbal, ohne namhaften klinischen Störungsbefund Aktiver myofaszialer Triggerpunkt Musculus obturatorius externus links Geringe Funktionseinschränkung linke Schulter, ohne bildmorphologisch nachweisbare namhafte Strukturpathologie Zustand nach aktenkundigen depressiven Episoden, DD Anpassungsstö- rungen, F43.2, weitgehend remittiert" Die Gutachter attestierten dem Beschwerdeführer (ab "spätestens Ende 2019"; VB 113 S. 81) sowohl in der bisherigen, als auch in einer angepass- ten Tätigkeit eine 100%ige Arbeitsfähigkeit (VB 113 S. 12). In körperlich überwiegend leichten bis mittelschweren, wechselbelastend oder überwie- gend sitzend ausgeübten Arbeiten ohne repetitive Überkopftätigkeiten, Körperzwangshaltungen, Tätigkeiten in der Höhe (auf Leitern oder Gerüs- ten) oder in Gefahrenbereichen lasse sich eine dauerhafte Limitation der Belastbarkeit in einer Arbeitstätigkeit nicht begründen (VB 113 S. 83, 140).</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t>- 7 -</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5.3</w:t>
      </w:r>
    </w:p>
    <w:p>
      <w:r>
        <w:t>Der Beschwerdeführer wurde zur Erstellung des PMEDA-Gutachtens fach- ärztlich umfassend untersucht. Die Gutachter beurteilten die medizinischen Zusammenhänge sowie die medizinische Situation in Kenntnis der Vorak- ten (VB 113 S. 15 ff.) und unter Berücksichtigung der geklagten Beschwer- den einleuchtend und gelangten zu einer nachvollziehbar begründeten Schlussfolgerung. Dem Gutachten kommt damit grundsätzlich Beweiswert im Sinne vorstehender Kriterien zu.</w:t>
      </w:r>
    </w:p>
    <w:p>
      <w:r>
        <w:rPr>
          <w:b/>
        </w:rPr>
        <w:t>E. 6.1</w:t>
      </w:r>
    </w:p>
    <w:p>
      <w:r>
        <w:t>Der Beschwerdeführer stellt den Beweiswert des Gutachtens in Abrede und bringt vor, die Begutachtung durch die PMEDA habe aufgrund der Formu- lierung des Sachverhaltes durch die Beschwerdegegnerin in der entspre- chenden Auftragsvergabe nicht objektiv und neutral vorgenommen werden können (Beschwerde vom 6. Oktober 2022 S. 15 ff.).</w:t>
      </w:r>
    </w:p>
    <w:p>
      <w:r>
        <w:rPr>
          <w:b/>
        </w:rPr>
        <w:t>E. 6.2</w:t>
      </w:r>
    </w:p>
    <w:p>
      <w:r>
        <w:t>Es ist nicht ersichtlich, inwiefern die im Schreiben der Beschwerdegegnerin vom 17. August 2021 betreffend die Vergabe des Auftrags zur polydiszipli- nären Begutachtung gewählte Formulierung "Es zeichnet sich eine "End- los"-Geschichte ab, indem immer wieder ein neuer Gesundheitsschaden geltend gemacht wird. […] Dann kann von massgebenden "psychosozialen Faktoren" ausgegangen werden" (VB 105 S. 2) auf eine mangelnde Objek- tivität oder Befangenheit der Gutachter schliessen liesse. Ein Ausstands- grund kann sich sodann nur gegen einzelne Gutachter und nicht gegen die Begutachtungsstelle als solche richten (BGE 137 V 210 E. 1.3.3 S. 226 mit Hinweisen). Die umstrittene Formulierung stammt indes nicht von den Gut- achtern, sondern von der Beschwerdegegnerin. Dafür, dass die Gutachter aufgrund des Auftragsschreibens der Beschwerdegegnerin vom 17. Au- gust 2021 voreingenommen gewesen wären, gibt es keine Anhaltspunkte. Sodann lässt das Auftrags- und Honorarvolumen für sich allein nicht auf die</w:t>
      </w:r>
    </w:p>
    <w:p>
      <w:r>
        <w:t>- 8 - wirtschaftliche Abhängigkeit der sachverständigen Person vom Sozialver- sicherungsträger schliessen (BGE 137 V 210 E. 1.3.3 S. 226 f.; SVR 2017 IV Nr. 14 S. 33, 8C_354/2016 E. 5.2; SVR 2015 IV Nr. 34 S. 108, 8C_467/2014 E. 4; Urteile des Bundesgerichts 8C_760/2019 vom 25. Feb- ruar 2020 E. 3.2; 8C_417/2019 vom 29. Oktober 2019 E. 4.2.1; Be- schwerde vom 6. Oktober 2022 S. 16). Formelle Gründe, nicht auf das Gut- achten abzustellen, liegen demnach keine vor.</w:t>
      </w:r>
    </w:p>
    <w:p>
      <w:r>
        <w:rPr>
          <w:b/>
        </w:rPr>
        <w:t>E. 7.1</w:t>
      </w:r>
    </w:p>
    <w:p>
      <w:r>
        <w:t>Der Beschwerdeführer bringt ferner vor, es hätte ein kardiologischer Gut- achter beigezogen werden müssen (Beschwerde vom 6. Oktober 2022 S. 17 ff.). Zudem sei das psychiatrische Gutachten fehlerhaft, da für die Abklärung allfälliger psychischer Störungen Testungen ("z.B. anhand eines durchgeführten MINI-ICF") hätten durchgeführt werden müssen (Be- schwerde vom 6. Oktober 2022 S. 25). Auf das Gutachten könne schliess- lich auch deshalb nicht abgestellt werden, weil die aktenmässig erstellten klinischen Befunde nicht oder ungenügend diskutiert und in die Beurteilung der Arbeitsfähigkeit einbezogen worden seien (Beschwerde vom 6. Okto- ber 2022 S. 17 ff.).</w:t>
      </w:r>
    </w:p>
    <w:p>
      <w:r>
        <w:rPr>
          <w:b/>
        </w:rPr>
        <w:t>E. 7.2</w:t>
      </w:r>
    </w:p>
    <w:p>
      <w:r>
        <w:t>Wichtigste Grundlage gutachterlicher Schlussfolgerungen bildet die klini- sche Untersuchung mit Anamneseerhebung, Symptomerfassung und Ver- haltensbeobachtung (Urteil des Bundesgerichts 8C_47/2016 vom 15. März 2016 E. 3.2.2), weshalb nicht zu beanstanden ist, dass die psychiatrische Gutachterin keine entsprechenden Testungen durchgeführt hatte. Eben- falls nicht zu beanstanden ist der Umstand, dass nebst der Untersuchung durch eine Fachärztin für Allgemeine Innere Medizin (vgl. VB 113 S. 3; S. 52 ff.) nicht auch noch eine Begutachtung durch einen Facharzt für Kar- diologie angeordnet wurde, denn die Kardiologie ist als Teilgebiet der Inne- ren Medizin im Rahmen der Facharztausbildung und in der internistischen Tätigkeit enthalten (vgl. Pschyrembel Klinisches Wörterbuch, 267. Aufl. 2017, S. 195 zum Begriff "Kardiologie"; vgl. VB 134 S. 4). Überdies kommt den Gutachtern hinsichtlich der Wahl der Untersuchungsmethoden recht- sprechungsgemäss ein weiter Ermessensspielraum zu (vgl. Urteil des Bun- desgerichts 9C_78/2017 vom 26. Januar 2018 E. 5.1). Dies beinhaltet auch die Auswahl der vorzunehmenden fachärztlichen Abklärungen (vgl. Urteile des Bundesgerichts 8C_820/2016 vom 27. September 2017 E. 5.5; 8C_277/2014 vom 30. Januar 2015 E. 5.2).</w:t>
      </w:r>
    </w:p>
    <w:p>
      <w:r>
        <w:rPr>
          <w:b/>
        </w:rPr>
        <w:t>E. 7.3.1</w:t>
      </w:r>
    </w:p>
    <w:p>
      <w:r>
        <w:t>Des Weiteren sind keine Anhaltspunkte ersichtlich, wonach Befunde nicht oder ungenügend diskutiert bzw. in die Beurteilung der Arbeitsfähigkeit mit- einbezogen worden wären. Insbesondere wurde die Leistungsfähigkeit des</w:t>
      </w:r>
    </w:p>
    <w:p>
      <w:r>
        <w:t>- 9 - Beschwerdeführers nachvollziehbar beurteilt. So hatte die Gutachterin Dr. med. B., Fachärztin für Allgemeine Innere Medizin, am 5. Oktober 2021 ein EKG durchgeführt, in welchem sich keine Auffälligkeiten ergeben hatten (VB 113 S. 74 f., 84). Zudem wies sie darauf hin, dass sich aus den aktenkundigen Berichten der behandelnden Ärzte ergebe, dass die subjek- tiv reduzierte Leistungsfähigkeit aus kardiologischer Sicht aufgrund der von diesen erhobenen Befunde nicht habe erklärt werden können. Auch bei der pneumologischen Untersuchung hätten sich klinisch und lungenfunktionell keine Hinweise auf Ursachen für die geklagte Leistungsminderung ergeben (VB 113 S. 75 f.). Die echokardiografischen Befunde bei der im Juli 2020 erfolgten umfangreichen kardiologischen Untersuchung seien identisch zu jenen in den Voruntersuchungen, bei denen jeweils eine normale links- ventrikuläre Funktion habe nachgewiesen werden können. Bei der im Au- gust 2020 durchgeführten Koronarangiographie habe sich ebenfalls ein weitestgehend unveränderter Befund gezeigt. Dr. med. C., Facharzt für Kardiologie, hatte in seinem Bericht vom 4. Oktober 2021 zwar fest- gehalten, in der Spirometrie habe sich eine leichtgradige Obstruktion (76 % des Solls) mit deutlicher Reduktion der MEF25 (54 % des Solls) gezeigt. Die Spiroergometrie sei jedoch aufgrund einer fehlenden Ausbelastung nicht konklusiv beurteilbar gewesen. Bis 107 W (65 % des Solls) seien zu- dem keine klinischen oder elektrokardiografischen Korrelate einer Progres- sion der koronaren Herzkrankheit erkennbar gewesen. In Ruhe sei der Be- schwerdeführer beschwerdefrei (VB 127 S. 6). Die Einschätzung von Dr. med. C. lässt sich folglich (ebenfalls) ohne Weiteres mit der Beurteilung der Gutachter vereinbaren.</w:t>
      </w:r>
    </w:p>
    <w:p>
      <w:r>
        <w:rPr>
          <w:b/>
        </w:rPr>
        <w:t>E. 7.3.2</w:t>
      </w:r>
    </w:p>
    <w:p>
      <w:r>
        <w:t>Im Weiteren hatten die Gutachter Kenntnis des von behandelnden Ärzten diagnostizierten Prostatakarzinoms, der Fettleber und des Restless-Legs- Syndroms und bezogen diese Gesundheitsstörungen auch in ihre Beurtei- lung ein (vgl. VB 113 S. 46, S. 76, S. 109). Das Prostatakarzinom und das Restless-Legs-Syndrom wurden im Gutachten sodann als Diagnosen ohne Auswirkung auf die Arbeitsfähigkeit qualifiziert (VB 113 S. 10 f.). Betreffend das Prostatakarzinom gab der Beschwerdeführer zudem auch selbst an, er werde dadurch nicht eingeschränkt, weshalb er derzeit auf eine Operation verzichte (VB 113 S. 69). Was die Diagnose der Fettleber angeht, so wurde diese lediglich von Dr. med. D., Fachärztin für Radiologie, am 16. Sep- tember 2020 gestellt ("Lebersteatose"). Dr. med. D. äusserte sich jedoch nicht zu deren Auswirkungen auf die Arbeitsfähigkeit des Beschwerdefüh- rers (VB 90 S. 19). Schliesslich gibt es auch in den weiteren Arztberichten keine Anhaltspunkte für eine aus dieser Diagnose resultierende Einschrän- kung der Arbeitsfähigkeit.</w:t>
      </w:r>
    </w:p>
    <w:p>
      <w:r>
        <w:rPr>
          <w:b/>
        </w:rPr>
        <w:t>E. 7.3.3</w:t>
      </w:r>
    </w:p>
    <w:p>
      <w:r>
        <w:t>Hinsichtlich der Diagnose eines Chronic Fatigue Syndroms (vgl. Be- schwerde vom 6. Oktober 2022 S. 19 Rz. 39) ist schliesslich anzumerken,</w:t>
      </w:r>
    </w:p>
    <w:p>
      <w:r>
        <w:t>- 10 - dass gemäss den Vorakten bereits verschiedentlich ein Erschöpfungssyn- drom diagnostiziert wurde. Die Diagnose war den Gutachtern somit be- kannt (vgl. VB 113 S. 20 ff.) und wurde folglich von ihnen berücksichtigt (vgl. Urteil des Bundesgerichts 8C_616/2017 vom 14. Dezember 2017 E. 6.2.2). Auch unter diesem Gesichtspunkt kann somit auf die gutachterli- che Schlussfolgerung abgestellt werden.</w:t>
      </w:r>
    </w:p>
    <w:p>
      <w:r>
        <w:rPr>
          <w:b/>
        </w:rPr>
        <w:t>E. 7.3.4</w:t>
      </w:r>
    </w:p>
    <w:p>
      <w:r>
        <w:t>Schliesslich macht der Beschwerdeführer geltend, die interdisziplinäre Be- urteilung sei insofern in sich widersprüchlich, als darin einerseits festgehal- ten worden sei, dass sich keine der gestellten Diagnosen auf die Arbeitsfä- higkeit in der angestammten und in einer angepassten Tätigkeit auswirke, andererseits aber medizinische Massnahmen und Therapien empfohlen worden seien, welche sich auf die Arbeitsfähigkeit auswirken würden (Be- schwerde vom 6. Oktober 2022 S. 17). Diesbezüglich ist darauf hinzuwei- sen, dass die Gutachter zwar durchaus davon ausgingen, dass gesund- heitliche Beeinträchtigungen bestünden, die das funktionelle Leistungsver- mögen des Beschwerdeführers einschränkten. Daher attestierten sie ihm auch lediglich in einer diesen Beeinträchtigungen angepassten Tätigkeit, worunter sie auch seine angestammte Tätigkeit subsumierten, eine 100%ige Arbeitsfähigkeit, was – auch vor dem Hintergrund der im Rahmen der fundierten gutachterlichen Untersuchungen erhobenen Befunde – ohne Weiteres einleuchtet.</w:t>
      </w:r>
    </w:p>
    <w:p>
      <w:r>
        <w:rPr>
          <w:b/>
        </w:rPr>
        <w:t>E. 7.3.5</w:t>
      </w:r>
    </w:p>
    <w:p>
      <w:r>
        <w:t>Nach dem Gesagten vermögen die Vorbringen des Beschwerdeführers keine Zweifel an der Beurteilung der PMEDA-Gutachter vom 3. Januar 2022 zu wecken, weshalb dem Gutachten voller Beweiswert zuzuerkennen ist.</w:t>
      </w:r>
    </w:p>
    <w:p>
      <w:r>
        <w:rPr>
          <w:b/>
        </w:rPr>
        <w:t>E. 8.1.1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sogenannte allgemeine Methode des Einkommensver- gleichs).</w:t>
      </w:r>
    </w:p>
    <w:p>
      <w:r>
        <w:t>- 11 -</w:t>
      </w:r>
    </w:p>
    <w:p>
      <w:r>
        <w:rPr>
          <w:b/>
        </w:rPr>
        <w:t>E. 8.1.2</w:t>
      </w:r>
    </w:p>
    <w:p>
      <w:r>
        <w:t>Die Beschwerdegegnerin stützte sich bei der Bemessung der Vergleichs- einkommen sowohl betreffend das Validen- als auch bezüglich des Invali- deneinkommens auf den Totalwert der Tabelle TA1 für Männer, Kompe- tenzniveau 1 der Schweizerischen Lohnstrukturerhebung (LSE) des Bun- desamtes für Statistik (BfS) des Jahres 2018, wobei sie die betriebsübliche wöchentliche Arbeitszeit sowie die bis 2019 eingetretene Nominallohnent- wicklung berücksichtigte. Sie ermittelte ein Valideneinkommen in der Höhe von Fr. 68'347.00 und – ausgehend von einer Arbeitsfähigkeit von 100 % in der angestammten und jeder anderen angepassten Tätigkeit – ein Inva- lideneinkommen in gleicher Höhe. Mangels Erwerbseinbusse ermittelte sie so einen (rentenausschliessenden) Invaliditätsgrad von 0 % (VB 144).</w:t>
      </w:r>
    </w:p>
    <w:p>
      <w:r>
        <w:rPr>
          <w:b/>
        </w:rPr>
        <w:t>E. 8.2.1</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vgl. auch BGE 135 V 297 E. 5.1 S. 300 f.; 134 V 322 E. 4.1 S. 325 f.; Urteil des Bundesgerichts 8C_504/2018 vom 19. Oktober 2018 E. 3.5.2).</w:t>
      </w:r>
    </w:p>
    <w:p>
      <w:r>
        <w:rPr>
          <w:b/>
        </w:rPr>
        <w:t>E. 8.2.2</w:t>
      </w:r>
    </w:p>
    <w:p>
      <w:r>
        <w:t>Der Beschwerdeführer bringt vor, beim Valideneinkommen sei auf das Ein- kommen eines Carrosseriespenglers EFZ abzustellen (Beschwerde vom 6. Oktober 2022 S. 26). Zwar hat der Beschwerdeführer eine Berufslehre als Carrosseriespengler EFZ absolviert (vgl. VB 113 S. 63; S. 71; S. 102; S. 162). Danach war er jedoch nur etwa ein Jahr auf diesem Beruf tätig und übte dann während Jahren – im Anstellungsverhältnis und auch als Selbst- ständigerwerbender – verschiedene Tätigkeiten im "Aussendienst – Ver- kauf – Service" (VB 113 S. 64; S. 102; S. 129; S. 209) aus (vgl. auch den Auszug aus dem individuellen Konto [IK] in VB 15). Bei Eintritt des Gesund- heitsschadens war der Beschwerdeführer (auch gemäss eigenen Aussa- gen) nicht erwerbstätig (vgl. Fragebogen betreffend Erwerbstätig- keit/Haushalt vom 9. August 2019 in VB 35 S. 1 und den IK-Auszug in VB 120 S. 2 sowie VB 113 S. 103). Die Beschwerdegegnerin hat das Vali- deneinkommen damit zu Recht gestützt auf den sich aus der LSE 2018</w:t>
      </w:r>
    </w:p>
    <w:p>
      <w:r>
        <w:t>- 12 - (und angesichts des potentiellen Rentenbeginns im Jahr 2019 nicht etwa der LSE 2020 [vgl. Beschwerde vom 6. Oktober 2022 S. 26]) ergebenden Totalwert für Hilfsarbeitertätigkeiten berechnet.</w:t>
      </w:r>
    </w:p>
    <w:p>
      <w:r>
        <w:rPr>
          <w:b/>
        </w:rPr>
        <w:t>E. 8.3.1</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135 V 297 E. 5.2 S. 301 mit Hinweis unter anderem auf BGE 129 V 472 E. 4.2.1 S. 475).</w:t>
      </w:r>
    </w:p>
    <w:p>
      <w:r>
        <w:rPr>
          <w:b/>
        </w:rPr>
        <w:t>E. 8.3.2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148 V 174 E. 6.3 S. 182; 135 V 297 E. 5.2 S. 301; 134 V 322 E. 5.2 S. 327 f.; 129 V 472 E. 4.2.3 S. 481; 126 V 75 [insbesondere E. 5 S. 78 ff.]).</w:t>
      </w:r>
    </w:p>
    <w:p>
      <w:r>
        <w:rPr>
          <w:b/>
        </w:rPr>
        <w:t>E. 8.3.3</w:t>
      </w:r>
    </w:p>
    <w:p>
      <w:r>
        <w:t>Der Beschwerdeführer bringt vor, bei der Festsetzung des Invalidenein- kommens sei auf das effektiv erzielte Einkommen abzustellen, da er seine vorhandene Restarbeitsfähigkeit vollumfänglich ausschöpfe (Beschwerde</w:t>
      </w:r>
    </w:p>
    <w:p>
      <w:r>
        <w:t>- 13 - vom 6. Oktober 2022 S. 14, 27). Der Beschwerdeführer ist zwar seit Sep- tember 2021 wieder erwerbstätig, dies jedoch lediglich in einem 20%-Pen- sum (vgl. Arbeitsvertrag vom 14. September 2021 in VB 111; Beschwerde vom 6. Oktober 2022 S. 28), obwohl ihm gemäss PMEDA-Gutachten in der angestammten und jeder anderen angepassten Tätigkeit ein 100%-Pen- sum zumutbar ist (vgl. E. 4). Der Beschwerdeführer schöpft seine Arbeits- fähigkeit somit nicht voll aus, weshalb die Beschwerdegegnerin für die Festsetzung des Invalideneinkommens zu Recht auf den LSE-Tabellen- lohn für Tätigkeiten des Kompetenzniveaus 1 abgestellt hat.</w:t>
      </w:r>
    </w:p>
    <w:p>
      <w:r>
        <w:rPr>
          <w:b/>
        </w:rPr>
        <w:t>E. 8.3.4</w:t>
      </w:r>
    </w:p>
    <w:p>
      <w:r>
        <w:t>Was den beantragten Abzug vom Tabellenlohn in der Höhe von 25 % be- trifft (Beschwerde vom 6. Oktober 2022 S. 14, 29 ff.), ist darauf hinzuwei- sen, dass dem Beschwerdeführer eine angepasste, körperlich überwie- gend leichte bis mittelschwere Tätigkeit (vgl. E. 4) zumutbar ist. Der Tabel- lenlohn des Kompetenzniveaus 1 basiert bereits auf einer Vielzahl (auch) von leichten und mittelschweren Tätigkeiten (vgl. Urteil des Bundesge- richts 8C_623/2022 vom 12. Januar 2023 E. 5.2.2). Unter diesem Aspekt ist damit kein Abzug vom Tabellenlohn gerechtfertigt. Auch die lediglich geringe Funktionseinschränkung der linken Schulter (VB 113 S. 10 f.) stellt keinen Grund für einen Abzug dar. Des Weiteren wirkt sich das Alter des Beschwerdeführers statistisch gesehen gar eher lohnerhöhend aus (vgl. Tabelle T9_b, Monatlicher Bruttolohn nach Lebensalter, beruflicher Stellung und Geschlecht des Jahres 2018; BGE 146 V 16 E. 7.2.1 mit Hinweisen). Schliesslich führt auch eine lange Abwesenheit vom Arbeits- markt jedenfalls dort rechtsprechungsgemäss nicht zu einem Abzug vom Tabellenlohn, wo – wie hier – als Invalidentätigkeiten Hilfstätigkeiten im untersten Kompetenzniveau in Frage kommen (vgl. Urteil des Bundesge- richts 9C_223/2020 vom 25. Mai 2020 E. 4.3.5). Aufgrund der vorliegenden Umstände rechtfertigt sich daher insgesamt kein Abzug vom Tabellenlohn. Überdies würde, auch wenn ein Abzug in der maximal möglichen Höhe von 25 % gewährt werden würde, ein rentenausschliessender Invaliditätsgrad (von 25 %) resultieren. Zusammenfassend hat der Beschwerdeführer keinen Anspruch auf eine Rente. Die Verfügung der Beschwerdegegnerin vom 9. September 2022 (VB 144) erweist sich folglich als rechtmässig. Zu prüfen bleibt der An- spruch des Beschwerdeführers auf berufliche Massnahmen.</w:t>
      </w:r>
    </w:p>
    <w:p>
      <w:r>
        <w:rPr>
          <w:b/>
        </w:rPr>
        <w:t>E. 9.1</w:t>
      </w:r>
    </w:p>
    <w:p>
      <w:r>
        <w:t>Versicherte Personen haben Anspruch auf Umschulung auf eine neue Er- werbstätigkeit, wenn dies infolge Invalidität notwendig ist und dadurch die Erwerbsfähigkeit voraussichtlich erhalten oder verbessert werden kann (Art. 17 Abs. 1 IVG). Der Anspruch auf Umschulung setzt voraus, dass die</w:t>
      </w:r>
    </w:p>
    <w:p>
      <w:r>
        <w:t>- 14 - versicherte Person wegen der Art und Schwere ihres Gesundheitsscha- dens in den ohne zusätzliche berufliche Ausbildung noch zumutbaren Er- werbstätigkeiten eine bleibende oder längere Zeit dauernde Erwerbsein- busse von etwa 20 %, gemessen an dem vor Eintritt des Gesundheitsscha- dens erzielten Verdienst, erleidet (BGE 124 V 108 E. 2b S. 110 f.).</w:t>
      </w:r>
    </w:p>
    <w:p>
      <w:r>
        <w:rPr>
          <w:b/>
        </w:rPr>
        <w:t>E. 9.2</w:t>
      </w:r>
    </w:p>
    <w:p>
      <w:r>
        <w:t>Obgleich es sich bei der Erheblichkeitsgrenze von 20 % nicht um einen starren Wert handelt (vgl. zum ganzen ERWIN MURER, Kommentar zum In- validenversicherungsgesetz [Art. 1 –27bis IVG], 2014, N. 60 zu Art. 17 IVG), kann dem Beschwerdeführer angesichts dessen Invaliditätsgrads von 0 % kein Umschulungsanspruch zuerkannt werden (vgl. zu einem Invaliditäts- grad von unter 18 % Urteile des Bundesgerichts 8C_951/2010 vom 30. Mai 2011 E. 3.3 und E. 5.2 sowie 9C_187/2011 vom 30. Mai 2011 E. 3 und E. 4.4, Urteil des Eidgenössischen Versicherungsgerichts I 218/02 vom</w:t>
      </w:r>
    </w:p>
    <w:p>
      <w:r>
        <w:rPr>
          <w:b/>
        </w:rPr>
        <w:t>E. 9.3</w:t>
      </w:r>
    </w:p>
    <w:p>
      <w:r>
        <w:t>Der Beschwerdeführer beantragt zudem Berufsberatung (Beschwerde vom 1. Dezember 2022 S. 28 f.). Vorliegend bestehen keine Anhaltspunkte, wo- nach invaliditätsbedingt Schwierigkeiten bei der Berufswahl (vgl. Art. 15 Abs. 1 IVG) oder bei der Ausführung der früheren Tätigkeit (Art. 15 Abs. 2 IVG) bestünden, weshalb auch kein Anspruch auf Berufsberatung besteht. Einen Anspruch auf anderweitige berufliche Massnahmen macht der Be- schwerdeführer – nach Lage der Akten zu Recht – nicht geltend. Zusam- menfassend hat der Beschwerdeführer keinen Anspruch auf berufliche Massnahmen. Die Verfügung der Beschwerdegegnerin vom 27. Oktober 2022 (VB 153) erweist sich folglich ebenfalls als rechtmässig.</w:t>
      </w:r>
    </w:p>
    <w:p>
      <w:r>
        <w:rPr>
          <w:b/>
        </w:rPr>
        <w:t>E. 10</w:t>
      </w:r>
    </w:p>
    <w:p>
      <w:r>
        <w:t>Oktober 2002 E. 3; vgl. ferner SVR 2010 IV Nr. 52, 9C_125/2009 vom 19. März 2010 E. 4.5).</w:t>
      </w:r>
    </w:p>
    <w:p>
      <w:r>
        <w:rPr>
          <w:b/>
        </w:rPr>
        <w:t>E. 10.1</w:t>
      </w:r>
    </w:p>
    <w:p>
      <w:r>
        <w:t>Nach dem Dargelegten hat die Beschwerdegegnerin das Rentenbegehren sowie den Anspruch des Beschwerdeführers auf berufliche Massnahmen mit Verfügungen vom 9. September 2022 bzw. 27. Oktober 2022 (VB 144, 153) zu Recht verneint. Die dagegen erhobenen Beschwerden sind daher abzuweisen.</w:t>
      </w:r>
    </w:p>
    <w:p>
      <w:r>
        <w:rPr>
          <w:b/>
        </w:rPr>
        <w:t>E. 10.2</w:t>
      </w:r>
    </w:p>
    <w:p>
      <w:r>
        <w:t>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dem Beschwerdeführer aufzuerlegen. Da diesem die unentgeltli- che Rechtspflege bewilligt wurde, sind die Kosten einstweilen lediglich vor- zumerken.</w:t>
      </w:r>
    </w:p>
    <w:p>
      <w:r>
        <w:t>- 15 -</w:t>
      </w:r>
    </w:p>
    <w:p>
      <w:r>
        <w:rPr>
          <w:b/>
        </w:rPr>
        <w:t>E. 10.3</w:t>
      </w:r>
    </w:p>
    <w:p>
      <w:r>
        <w:t>Dem Beschwerdeführer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 rechtlichen Urteils aus der Obergerichtskasse zu vergüten sein (Art. 122 Abs. 1 lit. a ZPO i.V.m. § 34 Abs. 3 VRPG).</w:t>
      </w:r>
    </w:p>
    <w:p>
      <w:r>
        <w:rPr>
          <w:b/>
        </w:rPr>
        <w:t>E. 10.4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Beschwerden werden abgewiesen. 2. Die Verfahrenskosten von Fr. 1'000.00 werden dem Beschwerdeführer auf- erlegt. Zufolge Bewilligung der unentgeltlichen Rechtspflege werden sie einstweilen vorgemerkt. 3. Es werden keine Parteientschädigungen zugesprochen. 4. Das Honorar des unentgeltlichen Rechtsvertreters wird richterlich auf Fr. 3'800.00 festgesetzt. Die Obergerichtskasse wird gestützt auf § 12 Anwaltstarif angewiesen, dem unentgeltlichen Rechtsvertreter des Beschwerdeführers, MLaw Leo Sigg, Rechtsanwalt, Aarau, nach Eintritt der Rechtskraft das Honorar von Fr. 3'800.00 auszurichten.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April 2023 Versicherungsgericht des Kantons Aargau 3. Kammer Die Präsidentin: Die Gerichtsschreiberin i.V.: Gössi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